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035761D4" w:rsidR="009F3341" w:rsidRPr="00B55F00" w:rsidRDefault="009F3341" w:rsidP="00E70A0C">
      <w:pPr>
        <w:rPr>
          <w:rFonts w:ascii="Arial" w:hAnsi="Arial" w:cs="Arial"/>
          <w:b/>
          <w:bCs/>
          <w:highlight w:val="yellow"/>
          <w:lang w:val="en-US"/>
        </w:rPr>
      </w:pPr>
      <w:r w:rsidRPr="00B55F00">
        <w:rPr>
          <w:rFonts w:ascii="Arial" w:hAnsi="Arial" w:cs="Arial"/>
          <w:b/>
          <w:bCs/>
          <w:lang w:val="en-US"/>
        </w:rPr>
        <w:t xml:space="preserve">3GPP TSG RAN WG1 </w:t>
      </w:r>
      <w:r w:rsidR="00E75962" w:rsidRPr="00B55F00">
        <w:rPr>
          <w:rFonts w:ascii="Arial" w:hAnsi="Arial" w:cs="Arial"/>
          <w:b/>
          <w:bCs/>
          <w:lang w:val="en-US"/>
        </w:rPr>
        <w:t>#11</w:t>
      </w:r>
      <w:r w:rsidR="00E75962">
        <w:rPr>
          <w:rFonts w:ascii="Arial" w:hAnsi="Arial" w:cs="Arial"/>
          <w:b/>
          <w:bCs/>
          <w:lang w:val="en-US"/>
        </w:rPr>
        <w:t>9</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E75962" w:rsidRPr="00E225FD">
        <w:rPr>
          <w:rFonts w:ascii="Arial" w:hAnsi="Arial" w:cs="Arial"/>
          <w:b/>
          <w:bCs/>
        </w:rPr>
        <w:t>240976</w:t>
      </w:r>
      <w:r w:rsidR="00E75962">
        <w:rPr>
          <w:rFonts w:ascii="Arial" w:hAnsi="Arial" w:cs="Arial"/>
          <w:b/>
          <w:bCs/>
        </w:rPr>
        <w:t>2</w:t>
      </w:r>
    </w:p>
    <w:p w14:paraId="7E5BE819" w14:textId="132E8331" w:rsidR="00934176" w:rsidRPr="00B55F00" w:rsidRDefault="00E75962" w:rsidP="00934176">
      <w:pPr>
        <w:rPr>
          <w:rFonts w:ascii="Arial" w:hAnsi="Arial" w:cs="Arial"/>
          <w:b/>
          <w:bCs/>
          <w:lang w:val="en-US"/>
        </w:rPr>
      </w:pPr>
      <w:r>
        <w:rPr>
          <w:rFonts w:ascii="Arial" w:hAnsi="Arial" w:cs="Arial"/>
          <w:b/>
          <w:bCs/>
          <w:lang w:val="en-US"/>
        </w:rPr>
        <w:t>Orlando</w:t>
      </w:r>
      <w:r w:rsidRPr="00B74A4D">
        <w:rPr>
          <w:rFonts w:ascii="Arial" w:hAnsi="Arial" w:cs="Arial"/>
          <w:b/>
          <w:bCs/>
          <w:lang w:val="en-US"/>
        </w:rPr>
        <w:t xml:space="preserve">, </w:t>
      </w:r>
      <w:r>
        <w:rPr>
          <w:rFonts w:ascii="Arial" w:hAnsi="Arial" w:cs="Arial"/>
          <w:b/>
          <w:bCs/>
          <w:lang w:val="en-US"/>
        </w:rPr>
        <w:t>US</w:t>
      </w:r>
      <w:r w:rsidRPr="00B74A4D">
        <w:rPr>
          <w:rFonts w:ascii="Arial" w:hAnsi="Arial" w:cs="Arial"/>
          <w:b/>
          <w:bCs/>
          <w:lang w:val="en-US"/>
        </w:rPr>
        <w:t xml:space="preserve">, </w:t>
      </w:r>
      <w:r>
        <w:rPr>
          <w:rFonts w:ascii="Arial" w:hAnsi="Arial" w:cs="Arial"/>
          <w:b/>
          <w:bCs/>
          <w:lang w:val="en-US"/>
        </w:rPr>
        <w:t>November</w:t>
      </w:r>
      <w:r w:rsidRPr="00B74A4D">
        <w:rPr>
          <w:rFonts w:ascii="Arial" w:hAnsi="Arial" w:cs="Arial"/>
          <w:b/>
          <w:bCs/>
          <w:lang w:val="en-US"/>
        </w:rPr>
        <w:t xml:space="preserve"> 1</w:t>
      </w:r>
      <w:r>
        <w:rPr>
          <w:rFonts w:ascii="Arial" w:hAnsi="Arial" w:cs="Arial"/>
          <w:b/>
          <w:bCs/>
          <w:lang w:val="en-US"/>
        </w:rPr>
        <w:t>8</w:t>
      </w:r>
      <w:r w:rsidRPr="00B74A4D">
        <w:rPr>
          <w:rFonts w:ascii="Arial" w:hAnsi="Arial" w:cs="Arial"/>
          <w:b/>
          <w:bCs/>
          <w:lang w:val="en-US"/>
        </w:rPr>
        <w:t xml:space="preserve">th – </w:t>
      </w:r>
      <w:r>
        <w:rPr>
          <w:rFonts w:ascii="Arial" w:hAnsi="Arial" w:cs="Arial"/>
          <w:b/>
          <w:bCs/>
          <w:lang w:val="en-US"/>
        </w:rPr>
        <w:t>November</w:t>
      </w:r>
      <w:r w:rsidRPr="00B74A4D">
        <w:rPr>
          <w:rFonts w:ascii="Arial" w:hAnsi="Arial" w:cs="Arial"/>
          <w:b/>
          <w:bCs/>
          <w:lang w:val="en-US"/>
        </w:rPr>
        <w:t xml:space="preserve"> </w:t>
      </w:r>
      <w:r>
        <w:rPr>
          <w:rFonts w:ascii="Arial" w:hAnsi="Arial" w:cs="Arial"/>
          <w:b/>
          <w:bCs/>
          <w:lang w:val="en-US"/>
        </w:rPr>
        <w:t>22</w:t>
      </w:r>
      <w:r w:rsidRPr="00B74A4D">
        <w:rPr>
          <w:rFonts w:ascii="Arial" w:hAnsi="Arial" w:cs="Arial"/>
          <w:b/>
          <w:bCs/>
          <w:lang w:val="en-US"/>
        </w:rPr>
        <w:t>th, 2024</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Enhancement for asymmetric DL sTRP</w:t>
      </w:r>
      <w:r w:rsidR="006B598E">
        <w:rPr>
          <w:rFonts w:ascii="Arial" w:hAnsi="Arial" w:cs="Arial"/>
          <w:b/>
          <w:bCs/>
        </w:rPr>
        <w:t>/</w:t>
      </w:r>
      <w:r w:rsidR="00BB62E3" w:rsidRPr="00BB62E3">
        <w:rPr>
          <w:rFonts w:ascii="Arial" w:hAnsi="Arial" w:cs="Arial"/>
          <w:b/>
          <w:bCs/>
        </w:rPr>
        <w:t>UL mTRP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744222"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2633FCA" w:rsidR="009F3341" w:rsidRDefault="00B26DB4" w:rsidP="00E70A0C">
      <w:pPr>
        <w:pStyle w:val="BodyText"/>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6D0011" w:rsidRPr="006D0011">
        <w:rPr>
          <w:lang w:val="en-US"/>
        </w:rPr>
        <w:t>Enhancement for asymmetric DL sTRP/UL mTRP scenarios</w:t>
      </w:r>
      <w: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77777777"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bookmarkStart w:id="1" w:name="_Hlk178605129"/>
            <w:r w:rsidRPr="006D0011">
              <w:rPr>
                <w:rFonts w:eastAsia="Times New Roman"/>
                <w:lang w:val="en-US"/>
              </w:rPr>
              <w:t>Specify enhancement for asymmetric DL sTRP/UL mTRP deployment scenarios, assuming intra-band intra-DU non-co-located mTRP scenarios, without changing existing cell definition or defining a new cell (</w:t>
            </w:r>
            <w:proofErr w:type="gramStart"/>
            <w:r w:rsidRPr="006D0011">
              <w:rPr>
                <w:rFonts w:eastAsia="Times New Roman"/>
                <w:lang w:val="en-US"/>
              </w:rPr>
              <w:t>e.g.</w:t>
            </w:r>
            <w:proofErr w:type="gramEnd"/>
            <w:r w:rsidRPr="006D0011">
              <w:rPr>
                <w:rFonts w:eastAsia="Times New Roman"/>
                <w:lang w:val="en-US"/>
              </w:rPr>
              <w:t xml:space="preserve"> UL-only cell), assuming the Rel-17/18 unified TCI framework and fully reusing the legacy QCL/UL spatial relation rules, targeting FR1 and FR2 </w:t>
            </w:r>
          </w:p>
          <w:p w14:paraId="3DF585BA" w14:textId="77777777" w:rsidR="006D0011" w:rsidRPr="00930AB5"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Two closed-loop PC adjustment states for SRS, both separate from PUSCH; and pathloss offset configurations for pathloss calculation to UL TRP(s), when the pathloss RS is from DL sTRP.</w:t>
            </w:r>
            <w:r w:rsidRPr="006D0011">
              <w:rPr>
                <w:rFonts w:ascii="Arial" w:eastAsia="Times New Roman" w:hAnsi="Arial" w:cs="Arial"/>
              </w:rPr>
              <w:t xml:space="preserve"> </w:t>
            </w:r>
          </w:p>
        </w:tc>
      </w:tr>
      <w:bookmarkEnd w:id="1"/>
    </w:tbl>
    <w:p w14:paraId="6FB2E42F" w14:textId="355E439C" w:rsidR="009F3341" w:rsidRDefault="009F3341" w:rsidP="00E70A0C">
      <w:pPr>
        <w:rPr>
          <w:lang w:eastAsia="zh-CN"/>
        </w:rPr>
      </w:pPr>
    </w:p>
    <w:p w14:paraId="7C5495A1" w14:textId="77777777" w:rsidR="001B3310" w:rsidRDefault="001B3310" w:rsidP="00E70A0C">
      <w:pPr>
        <w:rPr>
          <w:lang w:eastAsia="zh-CN"/>
        </w:rPr>
      </w:pPr>
    </w:p>
    <w:p w14:paraId="48DAF5E8" w14:textId="5790422D" w:rsidR="009F3341" w:rsidRDefault="006D0011" w:rsidP="0019366B">
      <w:pPr>
        <w:pStyle w:val="3GPPH1"/>
        <w:rPr>
          <w:lang w:val="en-US"/>
        </w:rPr>
      </w:pPr>
      <w:r>
        <w:rPr>
          <w:lang w:val="en-US"/>
        </w:rPr>
        <w:t xml:space="preserve">Discussion on </w:t>
      </w:r>
      <w:r w:rsidRPr="006D0011">
        <w:t>enhancements for asymmetric DL sTRP/UL mTRP</w:t>
      </w:r>
    </w:p>
    <w:p w14:paraId="1954C09F" w14:textId="77777777" w:rsidR="003B122E" w:rsidRDefault="003B122E" w:rsidP="003B122E">
      <w:r>
        <w:t xml:space="preserve">In this contribution, we provide our views on Rel 19 </w:t>
      </w:r>
      <w:bookmarkStart w:id="2" w:name="_Hlk172915548"/>
      <w:r w:rsidRPr="006D0011">
        <w:t>enhancement</w:t>
      </w:r>
      <w:r>
        <w:t>s</w:t>
      </w:r>
      <w:r w:rsidRPr="006D0011">
        <w:t xml:space="preserve"> for asymmetric DL </w:t>
      </w:r>
      <w:r>
        <w:t>s</w:t>
      </w:r>
      <w:r w:rsidRPr="006D0011">
        <w:t xml:space="preserve">TRP/UL </w:t>
      </w:r>
      <w:r>
        <w:t>m</w:t>
      </w:r>
      <w:r w:rsidRPr="006D0011">
        <w:t>TRP</w:t>
      </w:r>
      <w:bookmarkEnd w:id="2"/>
      <w:r w:rsidRPr="006D0011">
        <w:t xml:space="preserve"> scenarios for the open issues</w:t>
      </w:r>
      <w:r>
        <w:t xml:space="preserve"> identified in RAN1#118bis meeting [3]. </w:t>
      </w:r>
    </w:p>
    <w:p w14:paraId="2934FF64" w14:textId="77777777" w:rsidR="00D943C7" w:rsidRDefault="00D943C7" w:rsidP="00D943C7">
      <w:pPr>
        <w:pStyle w:val="Heading2"/>
      </w:pPr>
      <w:bookmarkStart w:id="3" w:name="_Hlk181853894"/>
      <w:r>
        <w:t>Two TA Enhancement</w:t>
      </w:r>
    </w:p>
    <w:bookmarkEnd w:id="3"/>
    <w:p w14:paraId="7136550D" w14:textId="77777777" w:rsidR="00D943C7" w:rsidRDefault="00D943C7" w:rsidP="00D943C7">
      <w:pPr>
        <w:rPr>
          <w:lang w:eastAsia="zh-CN"/>
        </w:rPr>
      </w:pPr>
      <w:r>
        <w:rPr>
          <w:lang w:eastAsia="zh-CN"/>
        </w:rPr>
        <w:t>Based on RAN #105 discussion and the revised WID RP-242394 [4], it has been approved to support two TA for asymmetric DL sTRP/UL mTRP deployments. It is decided to reuse</w:t>
      </w:r>
      <w:r w:rsidRPr="003337F6">
        <w:rPr>
          <w:lang w:eastAsia="zh-CN"/>
        </w:rPr>
        <w:t xml:space="preserve"> Rel-18 specification of two TAs for multi-DCI-based multi-TRP and remov</w:t>
      </w:r>
      <w:r>
        <w:rPr>
          <w:lang w:eastAsia="zh-CN"/>
        </w:rPr>
        <w:t>e</w:t>
      </w:r>
      <w:r w:rsidRPr="003337F6">
        <w:rPr>
          <w:lang w:eastAsia="zh-CN"/>
        </w:rPr>
        <w:t xml:space="preserve"> the restriction that coresetPoolIndex needs to be configured, assuming legacy PRACH resources</w:t>
      </w:r>
      <w:r>
        <w:rPr>
          <w:lang w:eastAsia="zh-CN"/>
        </w:rPr>
        <w:t xml:space="preserve">. </w:t>
      </w:r>
    </w:p>
    <w:p w14:paraId="01034D29" w14:textId="5441DCB5" w:rsidR="00D943C7" w:rsidRDefault="00D943C7" w:rsidP="00D943C7">
      <w:pPr>
        <w:rPr>
          <w:lang w:eastAsia="zh-CN"/>
        </w:rPr>
      </w:pPr>
      <w:r>
        <w:rPr>
          <w:lang w:eastAsia="zh-CN"/>
        </w:rPr>
        <w:t>Aligned with this scope extension</w:t>
      </w:r>
      <w:r w:rsidR="00834ED6">
        <w:rPr>
          <w:lang w:eastAsia="zh-CN"/>
        </w:rPr>
        <w:t>,</w:t>
      </w:r>
      <w:r>
        <w:rPr>
          <w:lang w:eastAsia="zh-CN"/>
        </w:rPr>
        <w:t xml:space="preserve"> the following agreement was made in RAN1 #118bis meetings.</w:t>
      </w:r>
    </w:p>
    <w:p w14:paraId="1C0D4311" w14:textId="77777777" w:rsidR="00CF69F8" w:rsidRDefault="00CF69F8" w:rsidP="00D943C7">
      <w:pPr>
        <w:rPr>
          <w:lang w:eastAsia="zh-CN"/>
        </w:rPr>
      </w:pPr>
    </w:p>
    <w:tbl>
      <w:tblPr>
        <w:tblStyle w:val="TableGrid"/>
        <w:tblW w:w="0" w:type="auto"/>
        <w:tblLook w:val="04A0" w:firstRow="1" w:lastRow="0" w:firstColumn="1" w:lastColumn="0" w:noHBand="0" w:noVBand="1"/>
      </w:tblPr>
      <w:tblGrid>
        <w:gridCol w:w="9576"/>
      </w:tblGrid>
      <w:tr w:rsidR="00D943C7" w14:paraId="446F99AE" w14:textId="77777777" w:rsidTr="003667A9">
        <w:tc>
          <w:tcPr>
            <w:tcW w:w="9576" w:type="dxa"/>
          </w:tcPr>
          <w:p w14:paraId="3E2F8A9A" w14:textId="77777777" w:rsidR="00D943C7" w:rsidRDefault="00D943C7" w:rsidP="003667A9">
            <w:pPr>
              <w:rPr>
                <w:rFonts w:eastAsia="DengXian" w:cs="Arial"/>
                <w:b/>
                <w:bCs/>
                <w:szCs w:val="20"/>
                <w:lang w:val="en-CA"/>
              </w:rPr>
            </w:pPr>
            <w:r>
              <w:rPr>
                <w:rFonts w:eastAsia="DengXian" w:cs="Arial"/>
                <w:b/>
                <w:bCs/>
                <w:szCs w:val="20"/>
                <w:highlight w:val="green"/>
                <w:lang w:val="en-CA"/>
              </w:rPr>
              <w:t>Agreement</w:t>
            </w:r>
          </w:p>
          <w:p w14:paraId="40E5048C" w14:textId="77777777" w:rsidR="00D943C7" w:rsidRDefault="00D943C7" w:rsidP="003667A9">
            <w:pPr>
              <w:rPr>
                <w:rFonts w:eastAsia="DengXian"/>
                <w:szCs w:val="20"/>
              </w:rPr>
            </w:pPr>
            <w:r>
              <w:rPr>
                <w:szCs w:val="20"/>
              </w:rPr>
              <w:t xml:space="preserve">Support 2TA for the </w:t>
            </w:r>
            <w:r>
              <w:rPr>
                <w:rFonts w:eastAsia="DengXian"/>
                <w:szCs w:val="20"/>
              </w:rPr>
              <w:t>asymmetric DL sTRP/UL mTRP deployment scenarios:</w:t>
            </w:r>
          </w:p>
          <w:p w14:paraId="2CEC3717" w14:textId="77777777" w:rsidR="00D943C7" w:rsidRDefault="00D943C7" w:rsidP="00D943C7">
            <w:pPr>
              <w:pStyle w:val="0Maintext"/>
              <w:numPr>
                <w:ilvl w:val="0"/>
                <w:numId w:val="20"/>
              </w:numPr>
              <w:rPr>
                <w:rFonts w:eastAsia="DengXian"/>
                <w:szCs w:val="20"/>
              </w:rPr>
            </w:pPr>
            <w:r>
              <w:rPr>
                <w:rFonts w:eastAsia="DengXian"/>
              </w:rPr>
              <w:t xml:space="preserve">Remove the restriction that </w:t>
            </w:r>
            <w:r>
              <w:rPr>
                <w:rFonts w:eastAsia="DengXian"/>
                <w:i/>
                <w:iCs/>
              </w:rPr>
              <w:t>coresetPoolIndex</w:t>
            </w:r>
            <w:r>
              <w:rPr>
                <w:rFonts w:eastAsia="DengXian"/>
              </w:rPr>
              <w:t xml:space="preserve"> needs to be configured </w:t>
            </w:r>
            <w:r>
              <w:rPr>
                <w:rFonts w:eastAsia="DengXian"/>
                <w:lang w:val="en-US"/>
              </w:rPr>
              <w:t>for the 2TA feature</w:t>
            </w:r>
            <w:r>
              <w:rPr>
                <w:rFonts w:eastAsia="DengXian"/>
              </w:rPr>
              <w:t>.</w:t>
            </w:r>
          </w:p>
          <w:p w14:paraId="7D0A4B16"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eastAsia="en-US"/>
              </w:rPr>
            </w:pPr>
            <w:r>
              <w:rPr>
                <w:rFonts w:eastAsia="DengXian" w:cs="Batang"/>
                <w:szCs w:val="20"/>
                <w:lang w:val="en-CA"/>
              </w:rPr>
              <w:lastRenderedPageBreak/>
              <w:t>One downlink reference timing is supported and applied to both TAGs.</w:t>
            </w:r>
          </w:p>
          <w:p w14:paraId="0EEF941D" w14:textId="77777777" w:rsidR="00D943C7" w:rsidRDefault="00D943C7" w:rsidP="00D943C7">
            <w:pPr>
              <w:pStyle w:val="0Maintext"/>
              <w:numPr>
                <w:ilvl w:val="1"/>
                <w:numId w:val="20"/>
              </w:numPr>
              <w:rPr>
                <w:rFonts w:eastAsia="DengXian" w:cs="Times New Roman"/>
                <w:szCs w:val="20"/>
                <w:lang w:val="en-CA"/>
              </w:rPr>
            </w:pPr>
            <w:r>
              <w:t>(FFS) Note: UE autonomous TA adjustment is only applicable to the first TAG</w:t>
            </w:r>
          </w:p>
          <w:p w14:paraId="1811DF99"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00BBB9DE" w14:textId="77777777" w:rsidR="00D943C7" w:rsidRDefault="00D943C7" w:rsidP="00D943C7">
            <w:pPr>
              <w:pStyle w:val="0Maintext"/>
              <w:numPr>
                <w:ilvl w:val="0"/>
                <w:numId w:val="20"/>
              </w:numPr>
              <w:rPr>
                <w:rFonts w:eastAsia="DengXian" w:cs="Times New Roman"/>
                <w:szCs w:val="20"/>
              </w:rPr>
            </w:pPr>
            <w:r>
              <w:rPr>
                <w:rFonts w:eastAsia="DengXian" w:cs="Arial"/>
                <w:lang w:val="en-CA"/>
              </w:rPr>
              <w:t>Any of the TCI states can be associated with any one of the two TAGs.</w:t>
            </w:r>
          </w:p>
          <w:p w14:paraId="3CD61F7D" w14:textId="77777777" w:rsidR="00D943C7" w:rsidRDefault="00D943C7" w:rsidP="00D943C7">
            <w:pPr>
              <w:pStyle w:val="0Maintext"/>
              <w:numPr>
                <w:ilvl w:val="0"/>
                <w:numId w:val="20"/>
              </w:numPr>
              <w:rPr>
                <w:rFonts w:eastAsia="DengXian"/>
              </w:rPr>
            </w:pPr>
            <w:r>
              <w:rPr>
                <w:rFonts w:eastAsia="DengXian"/>
              </w:rPr>
              <w:t xml:space="preserve">The RAR carrying TA adjustment for those 2 TAGs is reused for Rel-19 2TA </w:t>
            </w:r>
          </w:p>
          <w:p w14:paraId="7D82CDD5" w14:textId="77777777" w:rsidR="00D943C7" w:rsidRDefault="00D943C7" w:rsidP="00D943C7">
            <w:pPr>
              <w:pStyle w:val="0Maintext"/>
              <w:numPr>
                <w:ilvl w:val="0"/>
                <w:numId w:val="20"/>
              </w:numPr>
              <w:rPr>
                <w:rFonts w:eastAsia="DengXian"/>
              </w:rPr>
            </w:pPr>
            <w:r>
              <w:rPr>
                <w:rFonts w:eastAsia="DengXian"/>
              </w:rPr>
              <w:t>The MAC CE based TA adjustment for 2 TAGs is reused for Rel-19 2TA.</w:t>
            </w:r>
          </w:p>
          <w:p w14:paraId="1E1F5E5D" w14:textId="77777777" w:rsidR="00D943C7" w:rsidRDefault="00D943C7" w:rsidP="00D943C7">
            <w:pPr>
              <w:pStyle w:val="0Maintext"/>
              <w:numPr>
                <w:ilvl w:val="0"/>
                <w:numId w:val="20"/>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3473E489" w14:textId="77777777" w:rsidR="00D943C7" w:rsidRDefault="00D943C7" w:rsidP="00D943C7">
            <w:pPr>
              <w:pStyle w:val="0Maintext"/>
              <w:numPr>
                <w:ilvl w:val="1"/>
                <w:numId w:val="20"/>
              </w:numPr>
              <w:rPr>
                <w:rFonts w:eastAsia="Malgun Gothic"/>
              </w:rPr>
            </w:pPr>
            <w:r>
              <w:rPr>
                <w:rFonts w:eastAsia="DengXian"/>
              </w:rPr>
              <w:t>If UE does not report this UE capability, UE does not expect two UL transmissions associated with different TAGs are overlapped.</w:t>
            </w:r>
          </w:p>
          <w:p w14:paraId="5181B83F" w14:textId="77777777" w:rsidR="00D943C7" w:rsidRPr="00834ED6" w:rsidRDefault="00D943C7" w:rsidP="00D943C7">
            <w:pPr>
              <w:pStyle w:val="0Maintext"/>
              <w:numPr>
                <w:ilvl w:val="0"/>
                <w:numId w:val="20"/>
              </w:numPr>
            </w:pPr>
            <w:r>
              <w:t xml:space="preserve">FFS: UE does not expect that in intra-slot TDM PUSCH type-B repetition transmission, </w:t>
            </w:r>
            <w:r>
              <w:rPr>
                <w:rFonts w:eastAsia="DengXian"/>
              </w:rPr>
              <w:t>two consecutive repetitions associated with different TAGs are overlapped.</w:t>
            </w:r>
          </w:p>
          <w:p w14:paraId="5D1331F0" w14:textId="7DBCDD46" w:rsidR="00834ED6" w:rsidRPr="00491D43" w:rsidRDefault="00834ED6" w:rsidP="00834ED6">
            <w:pPr>
              <w:pStyle w:val="0Maintext"/>
              <w:ind w:left="720"/>
            </w:pPr>
          </w:p>
        </w:tc>
      </w:tr>
    </w:tbl>
    <w:p w14:paraId="6D026314" w14:textId="029982F2" w:rsidR="00D943C7" w:rsidRDefault="00D943C7" w:rsidP="00D943C7">
      <w:pPr>
        <w:rPr>
          <w:lang w:eastAsia="zh-CN"/>
        </w:rPr>
      </w:pPr>
    </w:p>
    <w:p w14:paraId="56412C98" w14:textId="7E4A711C" w:rsidR="00CF69F8" w:rsidRDefault="00CF69F8" w:rsidP="00D943C7">
      <w:pPr>
        <w:rPr>
          <w:rFonts w:eastAsia="DengXian" w:cs="Batang"/>
          <w:szCs w:val="20"/>
          <w:lang w:val="en-CA"/>
        </w:rPr>
      </w:pPr>
      <w:r>
        <w:rPr>
          <w:lang w:eastAsia="zh-CN"/>
        </w:rPr>
        <w:t xml:space="preserve">Traditionally, for asymmetric DL sTRP/UL mTRP scenarios based on S-DCI, only one DL reference timing can be considered, which could be based on the first detected path of the DL frame from the anchor TRP in the TAG. It is agreed </w:t>
      </w:r>
      <w:r>
        <w:rPr>
          <w:rFonts w:eastAsia="DengXian" w:cs="Batang"/>
          <w:szCs w:val="20"/>
          <w:lang w:val="en-CA"/>
        </w:rPr>
        <w:t>in RAN1 #118bis to support one downlink reference timing and apply to both TAGs. This is particularly relevant as there is no downlink reference signal associated with the configured TAG of UL TRP.</w:t>
      </w:r>
    </w:p>
    <w:p w14:paraId="466F2964" w14:textId="5AA080CE" w:rsidR="00D15447" w:rsidRDefault="00D15447" w:rsidP="00D15447">
      <w:pPr>
        <w:pStyle w:val="Observation"/>
        <w:rPr>
          <w:rStyle w:val="ObservationChar"/>
          <w:b/>
          <w:bCs/>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rPr>
        <w:t xml:space="preserve"> UE will monitor a single DL reference timing and apply both TA commands to the same DL reference timing to determine the UL transmission timings toward the two TAGs.</w:t>
      </w:r>
    </w:p>
    <w:p w14:paraId="1A7D218D" w14:textId="31D99A08" w:rsidR="00D15447"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03F6F5C2" w14:textId="77777777" w:rsidR="009E004F" w:rsidRDefault="009E004F" w:rsidP="009E004F">
      <w:pPr>
        <w:pStyle w:val="Proposal"/>
        <w:numPr>
          <w:ilvl w:val="0"/>
          <w:numId w:val="0"/>
        </w:numPr>
        <w:ind w:left="1701"/>
        <w:rPr>
          <w:lang w:eastAsia="zh-CN"/>
        </w:rPr>
      </w:pPr>
    </w:p>
    <w:p w14:paraId="5A7A57EB" w14:textId="5F21E1A0" w:rsidR="00D15447" w:rsidRPr="009E004F" w:rsidRDefault="00D15447" w:rsidP="009E004F">
      <w:pPr>
        <w:rPr>
          <w:rStyle w:val="ObservationChar"/>
          <w:rFonts w:eastAsia="DengXian"/>
          <w:b w:val="0"/>
          <w:bCs w:val="0"/>
          <w:lang w:eastAsia="en-US"/>
        </w:rPr>
      </w:pPr>
      <w:r>
        <w:t xml:space="preserve">During the offline discussions and follow up agreements of RAN1 #118bis, the necessity of introducing an optional UE capability of </w:t>
      </w:r>
      <w:r>
        <w:rPr>
          <w:rFonts w:eastAsia="DengXian"/>
        </w:rPr>
        <w:t xml:space="preserve">“Overlapping UL transmission reduction” for Rel-19 2 TA based asymmetric mTRP is emphasised. </w:t>
      </w:r>
    </w:p>
    <w:p w14:paraId="73B4734A" w14:textId="77777777" w:rsidR="00D15447" w:rsidRDefault="00D15447" w:rsidP="00D15447">
      <w:pPr>
        <w:pStyle w:val="Observation"/>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40586F50" w14:textId="77777777" w:rsidR="00D15447" w:rsidRPr="003337F6"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08E24752" w14:textId="77777777" w:rsidR="00D15447" w:rsidRPr="00CF69F8" w:rsidRDefault="00D15447" w:rsidP="00D15447">
      <w:pPr>
        <w:pStyle w:val="Observation"/>
        <w:numPr>
          <w:ilvl w:val="0"/>
          <w:numId w:val="0"/>
        </w:numPr>
        <w:ind w:left="1701"/>
        <w:rPr>
          <w:lang w:val="en-CA"/>
        </w:rPr>
      </w:pPr>
    </w:p>
    <w:p w14:paraId="52B36AEE" w14:textId="6CBBF06C" w:rsidR="00AF03CB" w:rsidRDefault="00AF03CB" w:rsidP="00AF03CB">
      <w:pPr>
        <w:pStyle w:val="Heading2"/>
      </w:pPr>
      <w:r w:rsidRPr="00AF03CB">
        <w:t xml:space="preserve">PL offset </w:t>
      </w:r>
      <w:r>
        <w:t>for</w:t>
      </w:r>
      <w:r w:rsidRPr="00AF03CB">
        <w:t xml:space="preserve"> PDCCH-order PRACH</w:t>
      </w:r>
    </w:p>
    <w:p w14:paraId="16BEFF24" w14:textId="78F67D55" w:rsidR="00E60312" w:rsidRDefault="00E60312" w:rsidP="00E60312">
      <w:r w:rsidRPr="002F281D">
        <w:t>In RAN1 #11</w:t>
      </w:r>
      <w:r w:rsidR="007A22E8">
        <w:t>8</w:t>
      </w:r>
      <w:r w:rsidR="009E004F">
        <w:t xml:space="preserve"> and RAN1 #118bis</w:t>
      </w:r>
      <w:r w:rsidRPr="002F281D">
        <w:t>, the following agreement</w:t>
      </w:r>
      <w:r w:rsidR="009E004F">
        <w:t>s were</w:t>
      </w:r>
      <w:r w:rsidRPr="002F281D">
        <w:t xml:space="preserve"> made</w:t>
      </w:r>
      <w:r>
        <w:t>:</w:t>
      </w:r>
    </w:p>
    <w:tbl>
      <w:tblPr>
        <w:tblStyle w:val="TableGrid"/>
        <w:tblW w:w="0" w:type="auto"/>
        <w:tblLook w:val="04A0" w:firstRow="1" w:lastRow="0" w:firstColumn="1" w:lastColumn="0" w:noHBand="0" w:noVBand="1"/>
      </w:tblPr>
      <w:tblGrid>
        <w:gridCol w:w="9576"/>
      </w:tblGrid>
      <w:tr w:rsidR="00E60312" w14:paraId="65FDF263" w14:textId="77777777" w:rsidTr="00161A5A">
        <w:tc>
          <w:tcPr>
            <w:tcW w:w="9576" w:type="dxa"/>
          </w:tcPr>
          <w:p w14:paraId="31D7903A" w14:textId="2D892344" w:rsidR="00783346" w:rsidRPr="00E245A5" w:rsidRDefault="00783346" w:rsidP="00783346">
            <w:pPr>
              <w:rPr>
                <w:rFonts w:cs="Times"/>
                <w:b/>
                <w:bCs/>
                <w:highlight w:val="green"/>
                <w:lang w:eastAsia="x-none"/>
              </w:rPr>
            </w:pPr>
            <w:r w:rsidRPr="00E245A5">
              <w:rPr>
                <w:rFonts w:cs="Times"/>
                <w:b/>
                <w:bCs/>
                <w:highlight w:val="green"/>
                <w:lang w:eastAsia="x-none"/>
              </w:rPr>
              <w:t>Agreement</w:t>
            </w:r>
            <w:r w:rsidR="00AE3864">
              <w:rPr>
                <w:rFonts w:cs="Times"/>
                <w:b/>
                <w:bCs/>
                <w:highlight w:val="green"/>
                <w:lang w:eastAsia="x-none"/>
              </w:rPr>
              <w:t xml:space="preserve"> </w:t>
            </w:r>
            <w:r w:rsidR="00AE3864">
              <w:rPr>
                <w:rFonts w:cs="Times"/>
                <w:b/>
                <w:bCs/>
                <w:highlight w:val="green"/>
                <w:lang w:eastAsia="x-none"/>
              </w:rPr>
              <w:t>(RAN1 #118)</w:t>
            </w:r>
          </w:p>
          <w:p w14:paraId="35C4CE2C" w14:textId="77777777" w:rsidR="00783346" w:rsidRPr="00C80951" w:rsidRDefault="00783346" w:rsidP="00783346">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5A26444D" w14:textId="77777777" w:rsidR="00783346" w:rsidRPr="00C80951" w:rsidRDefault="00783346" w:rsidP="00783346">
            <w:pPr>
              <w:numPr>
                <w:ilvl w:val="0"/>
                <w:numId w:val="21"/>
              </w:numPr>
              <w:overflowPunct/>
              <w:autoSpaceDE/>
              <w:autoSpaceDN/>
              <w:adjustRightInd/>
              <w:spacing w:after="0"/>
              <w:textAlignment w:val="auto"/>
              <w:rPr>
                <w:rFonts w:eastAsia="DengXian" w:cs="Arial"/>
                <w:szCs w:val="18"/>
              </w:rPr>
            </w:pPr>
            <w:r w:rsidRPr="00C80951">
              <w:rPr>
                <w:rFonts w:eastAsia="DengXian" w:cs="Arial"/>
                <w:szCs w:val="16"/>
              </w:rPr>
              <w:lastRenderedPageBreak/>
              <w:t>Alt3: The PL offset associated with one of the indicated joint/UL TCI state for UL TRP in unified TCI framework is applied on the PDCCH-order PRACH transmission</w:t>
            </w:r>
          </w:p>
          <w:p w14:paraId="09172168" w14:textId="1576345B" w:rsidR="00783346" w:rsidRPr="00744222" w:rsidRDefault="00783346" w:rsidP="00783346">
            <w:pPr>
              <w:pStyle w:val="ListParagraph"/>
              <w:numPr>
                <w:ilvl w:val="1"/>
                <w:numId w:val="21"/>
              </w:numPr>
              <w:spacing w:after="0"/>
              <w:contextualSpacing/>
              <w:jc w:val="left"/>
              <w:rPr>
                <w:rFonts w:ascii="Aptos" w:eastAsia="Malgun Gothic" w:hAnsi="Aptos"/>
              </w:rPr>
            </w:pPr>
            <w:r w:rsidRPr="00C80951">
              <w:rPr>
                <w:rFonts w:eastAsia="DengXian" w:cs="Arial"/>
                <w:szCs w:val="20"/>
              </w:rPr>
              <w:t>FFS the detailed design of DCI format: e.g., how to indicate one of the indicated joint/UL TCI states or whether to apply the PL offset in the indicated TCI state or not.</w:t>
            </w:r>
          </w:p>
          <w:p w14:paraId="72C339DB" w14:textId="77777777" w:rsidR="00744222" w:rsidRPr="00AE3864" w:rsidRDefault="00744222" w:rsidP="00744222">
            <w:pPr>
              <w:pStyle w:val="ListParagraph"/>
              <w:numPr>
                <w:ilvl w:val="0"/>
                <w:numId w:val="0"/>
              </w:numPr>
              <w:spacing w:after="0"/>
              <w:ind w:left="1440"/>
              <w:contextualSpacing/>
              <w:jc w:val="left"/>
              <w:rPr>
                <w:rFonts w:ascii="Aptos" w:eastAsia="Malgun Gothic" w:hAnsi="Aptos"/>
              </w:rPr>
            </w:pPr>
          </w:p>
          <w:p w14:paraId="5E55B056" w14:textId="35705832" w:rsidR="00AE3864" w:rsidRDefault="00AE3864" w:rsidP="00AE3864">
            <w:pPr>
              <w:snapToGrid w:val="0"/>
              <w:rPr>
                <w:rFonts w:eastAsiaTheme="minorEastAsia" w:cs="Times"/>
                <w:b/>
                <w:szCs w:val="20"/>
                <w:lang w:eastAsia="ko-KR"/>
              </w:rPr>
            </w:pPr>
            <w:r w:rsidRPr="00AE3864">
              <w:rPr>
                <w:rFonts w:eastAsiaTheme="minorEastAsia" w:cs="Times"/>
                <w:b/>
                <w:szCs w:val="20"/>
                <w:highlight w:val="green"/>
                <w:lang w:eastAsia="ko-KR"/>
              </w:rPr>
              <w:t>Agreement</w:t>
            </w:r>
            <w:r w:rsidRPr="00AE3864">
              <w:rPr>
                <w:rFonts w:eastAsiaTheme="minorEastAsia" w:cs="Times"/>
                <w:b/>
                <w:szCs w:val="20"/>
                <w:highlight w:val="green"/>
                <w:lang w:eastAsia="ko-KR"/>
              </w:rPr>
              <w:t xml:space="preserve"> (RAN1 #118bis)</w:t>
            </w:r>
          </w:p>
          <w:p w14:paraId="185ABBFF" w14:textId="77777777" w:rsidR="00AE3864" w:rsidRDefault="00AE3864" w:rsidP="00AE3864">
            <w:pPr>
              <w:rPr>
                <w:rFonts w:eastAsia="DengXian" w:cs="Arial"/>
                <w:szCs w:val="20"/>
                <w:lang w:eastAsia="en-US"/>
              </w:rPr>
            </w:pPr>
            <w:r>
              <w:rPr>
                <w:rFonts w:eastAsia="DengXian" w:cs="Arial"/>
                <w:szCs w:val="20"/>
              </w:rPr>
              <w:t>For indicating PL offset for PDCCH-order PRACH, introduce a new 1-bit DCI field in DCI format 1_0:</w:t>
            </w:r>
          </w:p>
          <w:p w14:paraId="6BEAD690" w14:textId="77777777" w:rsidR="00AE3864" w:rsidRDefault="00AE3864" w:rsidP="00AE3864">
            <w:pPr>
              <w:numPr>
                <w:ilvl w:val="0"/>
                <w:numId w:val="21"/>
              </w:numPr>
              <w:overflowPunct/>
              <w:autoSpaceDE/>
              <w:autoSpaceDN/>
              <w:adjustRightInd/>
              <w:spacing w:after="0"/>
              <w:textAlignment w:val="auto"/>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2B36439B" w14:textId="77777777" w:rsidR="00AE3864" w:rsidRDefault="00AE3864" w:rsidP="00AE3864">
            <w:pPr>
              <w:numPr>
                <w:ilvl w:val="0"/>
                <w:numId w:val="21"/>
              </w:numPr>
              <w:overflowPunct/>
              <w:autoSpaceDE/>
              <w:autoSpaceDN/>
              <w:adjustRightInd/>
              <w:spacing w:after="0"/>
              <w:textAlignment w:val="auto"/>
              <w:rPr>
                <w:rFonts w:eastAsia="DengXian" w:cs="Arial"/>
                <w:szCs w:val="20"/>
              </w:rPr>
            </w:pPr>
            <w:r>
              <w:rPr>
                <w:rFonts w:eastAsia="DengXian" w:cs="Arial"/>
                <w:szCs w:val="20"/>
              </w:rPr>
              <w:t xml:space="preserve">When one joint/UL TCI state is indicated in Rel-17 unified TCI, </w:t>
            </w:r>
          </w:p>
          <w:p w14:paraId="5BCC5D5C"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4A267A46"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the bit field index 1 of this field indicates that the PL offset associated with the indicated TCI state is included in the PRACH transmission power.</w:t>
            </w:r>
          </w:p>
          <w:p w14:paraId="412D9FD4" w14:textId="77777777" w:rsidR="00AE3864" w:rsidRDefault="00AE3864" w:rsidP="00AE3864">
            <w:pPr>
              <w:pStyle w:val="ListParagraph"/>
              <w:numPr>
                <w:ilvl w:val="0"/>
                <w:numId w:val="21"/>
              </w:numPr>
              <w:spacing w:after="0"/>
              <w:rPr>
                <w:rFonts w:eastAsia="Batang"/>
                <w:szCs w:val="24"/>
              </w:rPr>
            </w:pPr>
            <w:r>
              <w:rPr>
                <w:rFonts w:eastAsia="DengXian" w:cs="Arial"/>
                <w:szCs w:val="20"/>
              </w:rPr>
              <w:t>FFS: Whether the bit field can be used to indicate other information</w:t>
            </w:r>
          </w:p>
          <w:p w14:paraId="0E595E09" w14:textId="77777777" w:rsidR="00AE3864" w:rsidRDefault="00AE3864" w:rsidP="00AE3864">
            <w:pPr>
              <w:pStyle w:val="ListParagraph"/>
              <w:numPr>
                <w:ilvl w:val="0"/>
                <w:numId w:val="21"/>
              </w:numPr>
              <w:spacing w:after="0"/>
            </w:pPr>
            <w:r>
              <w:rPr>
                <w:rFonts w:eastAsia="DengXian" w:cs="Arial"/>
                <w:szCs w:val="20"/>
              </w:rPr>
              <w:t>FFS: When two joint/UL TCI states are indicated in Rel-18 unified TCI</w:t>
            </w:r>
          </w:p>
          <w:p w14:paraId="157946D4" w14:textId="77777777" w:rsidR="00AE3864" w:rsidRDefault="00AE3864" w:rsidP="00AE3864">
            <w:pPr>
              <w:rPr>
                <w:lang w:eastAsia="ko-KR"/>
              </w:rPr>
            </w:pPr>
          </w:p>
          <w:p w14:paraId="689EF866" w14:textId="4D03B578" w:rsidR="00AE3864" w:rsidRDefault="00AE3864" w:rsidP="00AE3864">
            <w:pPr>
              <w:snapToGrid w:val="0"/>
              <w:rPr>
                <w:rFonts w:eastAsiaTheme="minorEastAsia" w:cs="Times"/>
                <w:b/>
                <w:szCs w:val="20"/>
                <w:lang w:eastAsia="ko-KR"/>
              </w:rPr>
            </w:pPr>
            <w:r>
              <w:rPr>
                <w:rFonts w:eastAsiaTheme="minorEastAsia" w:cs="Times"/>
                <w:b/>
                <w:szCs w:val="20"/>
                <w:highlight w:val="green"/>
                <w:lang w:eastAsia="ko-KR"/>
              </w:rPr>
              <w:t>Agreement</w:t>
            </w:r>
            <w:r>
              <w:rPr>
                <w:rFonts w:eastAsiaTheme="minorEastAsia" w:cs="Times"/>
                <w:b/>
                <w:szCs w:val="20"/>
                <w:highlight w:val="green"/>
                <w:lang w:eastAsia="ko-KR"/>
              </w:rPr>
              <w:t xml:space="preserve"> </w:t>
            </w:r>
            <w:r w:rsidRPr="00AE3864">
              <w:rPr>
                <w:rFonts w:eastAsiaTheme="minorEastAsia" w:cs="Times"/>
                <w:b/>
                <w:szCs w:val="20"/>
                <w:highlight w:val="green"/>
                <w:lang w:eastAsia="ko-KR"/>
              </w:rPr>
              <w:t>(RAN1 #118bis)</w:t>
            </w:r>
          </w:p>
          <w:p w14:paraId="35AC428A" w14:textId="77777777" w:rsidR="00AE3864" w:rsidRDefault="00AE3864" w:rsidP="00AE3864">
            <w:pPr>
              <w:rPr>
                <w:rFonts w:eastAsia="DengXian" w:cs="Arial"/>
                <w:szCs w:val="20"/>
                <w:lang w:eastAsia="en-US"/>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2C8167AC" w14:textId="77777777" w:rsidR="00AE3864" w:rsidRDefault="00AE3864" w:rsidP="00AE3864">
            <w:pPr>
              <w:pStyle w:val="ListParagraph"/>
              <w:numPr>
                <w:ilvl w:val="0"/>
                <w:numId w:val="21"/>
              </w:numPr>
              <w:spacing w:after="0"/>
              <w:rPr>
                <w:rFonts w:eastAsia="DengXian" w:cs="Arial"/>
                <w:szCs w:val="20"/>
              </w:rPr>
            </w:pPr>
            <w:r>
              <w:rPr>
                <w:rFonts w:eastAsia="DengXian" w:cs="Arial"/>
                <w:szCs w:val="20"/>
              </w:rPr>
              <w:t>Alt2:</w:t>
            </w:r>
          </w:p>
          <w:p w14:paraId="7B730C85"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 xml:space="preserve">the bit field index 0 of this field indicates that the PL offset associated in the first indicated joint/UL TCI state is included in the PRACH transmission power calculation </w:t>
            </w:r>
          </w:p>
          <w:p w14:paraId="07B43EC2"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the bit field index 1 of this field indicates that the PL offset associated in the second indicated joint/UL TCI state is included in the PRACH transmission power calculation.</w:t>
            </w:r>
          </w:p>
          <w:p w14:paraId="28D85672"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FFS: Whether a restriction that only one of the indicated joint/UL TCI states can be configured with PL offset is needed.</w:t>
            </w:r>
          </w:p>
          <w:p w14:paraId="5D71B5B7" w14:textId="24019294" w:rsidR="00AE3864" w:rsidRPr="00AE3864" w:rsidRDefault="00AE3864" w:rsidP="00AE3864">
            <w:pPr>
              <w:rPr>
                <w:rFonts w:eastAsia="DengXian" w:cs="Arial"/>
                <w:szCs w:val="20"/>
              </w:rPr>
            </w:pPr>
            <w:r>
              <w:rPr>
                <w:rFonts w:eastAsia="DengXian" w:cs="Arial"/>
                <w:szCs w:val="20"/>
              </w:rPr>
              <w:t>FFS: If other information can be indicated by this same 1-bit DCI field for the PDCCH-order PRACH transmission</w:t>
            </w:r>
          </w:p>
          <w:p w14:paraId="19622A50" w14:textId="77777777" w:rsidR="00E60312" w:rsidRPr="00B127AC" w:rsidRDefault="00E60312" w:rsidP="00E60312">
            <w:pPr>
              <w:pStyle w:val="ListParagraph"/>
              <w:numPr>
                <w:ilvl w:val="0"/>
                <w:numId w:val="0"/>
              </w:numPr>
              <w:spacing w:after="0"/>
              <w:ind w:left="1440"/>
              <w:rPr>
                <w:szCs w:val="20"/>
              </w:rPr>
            </w:pPr>
          </w:p>
        </w:tc>
      </w:tr>
    </w:tbl>
    <w:p w14:paraId="35463A40" w14:textId="6738D401" w:rsidR="00E60312" w:rsidRDefault="00E60312" w:rsidP="00E60312">
      <w:pPr>
        <w:rPr>
          <w:lang w:eastAsia="zh-CN"/>
        </w:rPr>
      </w:pPr>
    </w:p>
    <w:p w14:paraId="0BD5AF33" w14:textId="77777777" w:rsidR="000E1828" w:rsidRPr="009E54E6" w:rsidRDefault="000E1828" w:rsidP="000E1828">
      <w:pPr>
        <w:rPr>
          <w:lang w:eastAsia="zh-CN"/>
        </w:rPr>
      </w:pPr>
      <w:r w:rsidRPr="009E54E6">
        <w:rPr>
          <w:lang w:eastAsia="zh-CN"/>
        </w:rPr>
        <w:t xml:space="preserve">RAN1#116bis agreed to apply PL offset on PDCCH-order PRACH towards an UL TRP in FR1 </w:t>
      </w:r>
      <w:r>
        <w:rPr>
          <w:lang w:eastAsia="zh-CN"/>
        </w:rPr>
        <w:t xml:space="preserve">for UEs who lost synchronization with the UL TRP. From multiple alternatives to </w:t>
      </w:r>
      <w:r w:rsidRPr="007C795B">
        <w:rPr>
          <w:rFonts w:eastAsia="DengXian" w:cs="Arial" w:hint="eastAsia"/>
        </w:rPr>
        <w:t>indicat</w:t>
      </w:r>
      <w:r>
        <w:rPr>
          <w:rFonts w:eastAsia="DengXian" w:cs="Arial"/>
        </w:rPr>
        <w:t>e</w:t>
      </w:r>
      <w:r w:rsidRPr="007C795B">
        <w:rPr>
          <w:rFonts w:eastAsia="DengXian" w:cs="Arial" w:hint="eastAsia"/>
        </w:rPr>
        <w:t xml:space="preserve"> a PL offset for </w:t>
      </w:r>
      <w:r>
        <w:rPr>
          <w:rFonts w:eastAsia="DengXian" w:cs="Arial" w:hint="eastAsia"/>
        </w:rPr>
        <w:t>PDCCH</w:t>
      </w:r>
      <w:r>
        <w:rPr>
          <w:rFonts w:eastAsia="DengXian" w:cs="Arial"/>
        </w:rPr>
        <w:t xml:space="preserve">-order </w:t>
      </w:r>
      <w:r w:rsidRPr="007C795B">
        <w:rPr>
          <w:rFonts w:eastAsia="DengXian" w:cs="Arial" w:hint="eastAsia"/>
        </w:rPr>
        <w:t>PRACH transmission</w:t>
      </w:r>
      <w:r>
        <w:rPr>
          <w:rFonts w:eastAsia="DengXian" w:cs="Arial"/>
        </w:rPr>
        <w:t>, RAN1#118 agreed to down select Alt 3, wherein t</w:t>
      </w:r>
      <w:r w:rsidRPr="00C80951">
        <w:rPr>
          <w:rFonts w:eastAsia="DengXian" w:cs="Arial"/>
          <w:szCs w:val="16"/>
        </w:rPr>
        <w:t>he PL offset associated with one of the indicated joint/UL TCI state for UL TRP in unified TCI framework is applied on the PDCCH-order PRACH transmission</w:t>
      </w:r>
      <w:r>
        <w:rPr>
          <w:rFonts w:eastAsia="DengXian" w:cs="Arial"/>
          <w:szCs w:val="16"/>
        </w:rPr>
        <w:t xml:space="preserve">. </w:t>
      </w:r>
      <w:r>
        <w:rPr>
          <w:lang w:eastAsia="zh-CN"/>
        </w:rPr>
        <w:t xml:space="preserve">As </w:t>
      </w:r>
      <w:r w:rsidRPr="00FF6327">
        <w:rPr>
          <w:lang w:eastAsia="zh-CN"/>
        </w:rPr>
        <w:t xml:space="preserve">the total number of indicated </w:t>
      </w:r>
      <w:r w:rsidRPr="00FF6327">
        <w:rPr>
          <w:rFonts w:eastAsia="DengXian" w:cs="Batang"/>
        </w:rPr>
        <w:t xml:space="preserve">joint TCI states and UL TCI </w:t>
      </w:r>
      <w:r w:rsidRPr="00FF6327">
        <w:rPr>
          <w:lang w:eastAsia="zh-CN"/>
        </w:rPr>
        <w:t>states is limited to 2</w:t>
      </w:r>
      <w:r>
        <w:rPr>
          <w:lang w:eastAsia="zh-CN"/>
        </w:rPr>
        <w:t>, a single bit suffices to indicate the choice and is also agreed.</w:t>
      </w:r>
    </w:p>
    <w:p w14:paraId="62553106" w14:textId="77777777" w:rsidR="00EB27BF" w:rsidRPr="00673778" w:rsidRDefault="00EB27BF" w:rsidP="00EB27BF">
      <w:pPr>
        <w:pStyle w:val="Observation"/>
      </w:pPr>
      <w:bookmarkStart w:id="4" w:name="_Hlk172916331"/>
      <w:r>
        <w:t>For indicating PL offset for PDCCH-order PRACH, when two joint/UL TCI states are indicated, the reason to restrict the indicated joint/UL TCI states that can be configured with PL offset is unclear. This could be a gNB implementation flexibility that might not be restricted.</w:t>
      </w:r>
    </w:p>
    <w:bookmarkEnd w:id="4"/>
    <w:p w14:paraId="150FB053" w14:textId="77777777" w:rsidR="00EB27BF" w:rsidRPr="0004265C" w:rsidRDefault="00EB27BF" w:rsidP="00EB27BF">
      <w:pPr>
        <w:pStyle w:val="Proposal"/>
        <w:rPr>
          <w:lang w:val="en-US"/>
        </w:rPr>
      </w:pPr>
      <w:r w:rsidRPr="003C11F5">
        <w:t>Regarding</w:t>
      </w:r>
      <w:r w:rsidRPr="0004265C">
        <w:rPr>
          <w:lang w:val="en-US"/>
        </w:rPr>
        <w:t xml:space="preserve"> </w:t>
      </w:r>
      <w:r w:rsidRPr="0004265C">
        <w:t xml:space="preserve">PL offset for PDCCH-order PRACH, </w:t>
      </w:r>
      <w:r w:rsidRPr="0004265C">
        <w:rPr>
          <w:lang w:val="en-US"/>
        </w:rPr>
        <w:t xml:space="preserve">support </w:t>
      </w:r>
      <w:r>
        <w:rPr>
          <w:lang w:val="en-US"/>
        </w:rPr>
        <w:t xml:space="preserve">to not restrict </w:t>
      </w:r>
      <w:r>
        <w:t>that only one of the indicated joint/UL TCI states can be configured with PL offset</w:t>
      </w:r>
      <w:r w:rsidRPr="0004265C">
        <w:rPr>
          <w:szCs w:val="16"/>
        </w:rPr>
        <w:t>.</w:t>
      </w:r>
      <w:r w:rsidRPr="0004265C">
        <w:rPr>
          <w:lang w:val="en-US"/>
        </w:rPr>
        <w:t xml:space="preserve"> </w:t>
      </w:r>
    </w:p>
    <w:p w14:paraId="7F77DACA" w14:textId="77777777" w:rsidR="00D621AC" w:rsidRDefault="00D621AC" w:rsidP="00AA6A77">
      <w:pPr>
        <w:rPr>
          <w:lang w:val="en-CA"/>
        </w:rPr>
      </w:pPr>
    </w:p>
    <w:p w14:paraId="553E39DD" w14:textId="1590D942" w:rsidR="009F3341" w:rsidRDefault="009F3341" w:rsidP="00A2538B">
      <w:pPr>
        <w:pStyle w:val="3GPPH1"/>
        <w:rPr>
          <w:lang w:val="en-US"/>
        </w:rPr>
      </w:pPr>
      <w:r w:rsidRPr="00A2538B">
        <w:t>Conclusions</w:t>
      </w:r>
    </w:p>
    <w:p w14:paraId="70EB71FF" w14:textId="61EDE93C" w:rsidR="00E2183F" w:rsidRDefault="00D9275A" w:rsidP="00E2183F">
      <w:pPr>
        <w:rPr>
          <w:lang w:val="en-US"/>
        </w:rPr>
      </w:pPr>
      <w:r w:rsidRPr="00D9275A">
        <w:rPr>
          <w:lang w:val="en-US"/>
        </w:rPr>
        <w:t>In this section we summarize our observations and proposals.</w:t>
      </w:r>
    </w:p>
    <w:p w14:paraId="065124DD" w14:textId="77777777" w:rsidR="00247968" w:rsidRPr="00B52B25" w:rsidRDefault="00247968" w:rsidP="00247968">
      <w:pPr>
        <w:pStyle w:val="Style3"/>
        <w:rPr>
          <w:rStyle w:val="ObservationChar"/>
          <w:b/>
          <w:bCs/>
          <w:lang w:val="en-IN"/>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lang w:val="en-IN"/>
        </w:rPr>
        <w:t xml:space="preserve"> UE will monitor a single DL reference timing and apply both TA commands to the same DL reference timing to determine the UL transmission timings toward the two TAGs.</w:t>
      </w:r>
    </w:p>
    <w:p w14:paraId="71FFD473" w14:textId="77777777" w:rsidR="00247968" w:rsidRDefault="00247968" w:rsidP="00247968">
      <w:pPr>
        <w:pStyle w:val="Style3"/>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7E863962" w14:textId="77777777" w:rsidR="00247968" w:rsidRPr="00673778" w:rsidRDefault="00247968" w:rsidP="00247968">
      <w:pPr>
        <w:pStyle w:val="Style3"/>
      </w:pPr>
      <w:r>
        <w:t>For indicating PL offset for PDCCH-order PRACH, when two joint/UL TCI states are indicated, the reason to restrict the indicated joint/UL TCI states that can be configured with PL offset is unclear. This could be a gNB implementation flexibility that might not be restricted.</w:t>
      </w:r>
    </w:p>
    <w:p w14:paraId="7E545D4F" w14:textId="77777777" w:rsidR="00247968" w:rsidRDefault="00247968" w:rsidP="00247968">
      <w:pPr>
        <w:pStyle w:val="Style3"/>
        <w:numPr>
          <w:ilvl w:val="0"/>
          <w:numId w:val="0"/>
        </w:numPr>
        <w:ind w:left="1699"/>
      </w:pPr>
    </w:p>
    <w:p w14:paraId="058C9185" w14:textId="77777777" w:rsidR="00247968"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7CB74B7E" w14:textId="77777777" w:rsidR="00247968" w:rsidRPr="003337F6"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1ED8191C" w14:textId="77777777" w:rsidR="00247968" w:rsidRPr="0004265C" w:rsidRDefault="00247968" w:rsidP="00247968">
      <w:pPr>
        <w:pStyle w:val="Style2"/>
        <w:rPr>
          <w:lang w:val="en-US"/>
        </w:rPr>
      </w:pPr>
      <w:r w:rsidRPr="003C11F5">
        <w:t>Regarding</w:t>
      </w:r>
      <w:r w:rsidRPr="0004265C">
        <w:rPr>
          <w:lang w:val="en-US"/>
        </w:rPr>
        <w:t xml:space="preserve"> </w:t>
      </w:r>
      <w:r w:rsidRPr="0004265C">
        <w:t xml:space="preserve">PL offset for PDCCH-order PRACH, </w:t>
      </w:r>
      <w:r w:rsidRPr="0004265C">
        <w:rPr>
          <w:lang w:val="en-US"/>
        </w:rPr>
        <w:t xml:space="preserve">support </w:t>
      </w:r>
      <w:r>
        <w:rPr>
          <w:lang w:val="en-US"/>
        </w:rPr>
        <w:t xml:space="preserve">to not restrict </w:t>
      </w:r>
      <w:r>
        <w:t>that only one of the indicated joint/UL TCI states can be configured with PL offset</w:t>
      </w:r>
      <w:r w:rsidRPr="0004265C">
        <w:rPr>
          <w:szCs w:val="16"/>
        </w:rPr>
        <w:t>.</w:t>
      </w:r>
      <w:r w:rsidRPr="0004265C">
        <w:rPr>
          <w:lang w:val="en-US"/>
        </w:rPr>
        <w:t xml:space="preserve"> </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AE3373" w14:textId="4DE669B7" w:rsidR="00E538E4" w:rsidRPr="00E538E4" w:rsidRDefault="00E538E4" w:rsidP="00E538E4">
      <w:pPr>
        <w:pStyle w:val="ListParagraph"/>
        <w:numPr>
          <w:ilvl w:val="0"/>
          <w:numId w:val="2"/>
        </w:numPr>
      </w:pPr>
      <w:r>
        <w:rPr>
          <w:rFonts w:eastAsia="SimSun"/>
        </w:rPr>
        <w:t>Chairman’s Notes, RAN1#118bis, final, Hefei, China, October 14</w:t>
      </w:r>
      <w:r w:rsidRPr="00AA32C0">
        <w:rPr>
          <w:rFonts w:eastAsia="SimSun"/>
          <w:vertAlign w:val="superscript"/>
        </w:rPr>
        <w:t>th</w:t>
      </w:r>
      <w:r>
        <w:rPr>
          <w:rFonts w:eastAsia="SimSun"/>
        </w:rPr>
        <w:t xml:space="preserve"> – 18</w:t>
      </w:r>
      <w:r w:rsidRPr="007465BA">
        <w:rPr>
          <w:rFonts w:eastAsia="SimSun"/>
          <w:vertAlign w:val="superscript"/>
        </w:rPr>
        <w:t>th</w:t>
      </w:r>
      <w:r>
        <w:rPr>
          <w:rFonts w:eastAsia="SimSun"/>
        </w:rPr>
        <w:t>, 2024</w:t>
      </w:r>
    </w:p>
    <w:p w14:paraId="1B728206" w14:textId="476A8D52" w:rsidR="00E538E4" w:rsidRPr="001164AD" w:rsidRDefault="00E538E4" w:rsidP="00E538E4">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p w14:paraId="4FBC94E4" w14:textId="302CC988" w:rsidR="00313967" w:rsidRDefault="00313967" w:rsidP="00416FAF">
      <w:pPr>
        <w:pStyle w:val="ListParagraph"/>
        <w:numPr>
          <w:ilvl w:val="0"/>
          <w:numId w:val="0"/>
        </w:numPr>
        <w:ind w:left="420"/>
      </w:pP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9"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39"/>
  </w:num>
  <w:num w:numId="4">
    <w:abstractNumId w:val="19"/>
  </w:num>
  <w:num w:numId="5">
    <w:abstractNumId w:val="28"/>
  </w:num>
  <w:num w:numId="6">
    <w:abstractNumId w:val="21"/>
  </w:num>
  <w:num w:numId="7">
    <w:abstractNumId w:val="38"/>
  </w:num>
  <w:num w:numId="8">
    <w:abstractNumId w:val="6"/>
  </w:num>
  <w:num w:numId="9">
    <w:abstractNumId w:val="15"/>
  </w:num>
  <w:num w:numId="10">
    <w:abstractNumId w:val="37"/>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0"/>
  </w:num>
  <w:num w:numId="19">
    <w:abstractNumId w:val="43"/>
  </w:num>
  <w:num w:numId="20">
    <w:abstractNumId w:val="32"/>
  </w:num>
  <w:num w:numId="21">
    <w:abstractNumId w:val="23"/>
  </w:num>
  <w:num w:numId="22">
    <w:abstractNumId w:val="36"/>
  </w:num>
  <w:num w:numId="23">
    <w:abstractNumId w:val="33"/>
  </w:num>
  <w:num w:numId="24">
    <w:abstractNumId w:val="42"/>
  </w:num>
  <w:num w:numId="25">
    <w:abstractNumId w:val="13"/>
  </w:num>
  <w:num w:numId="26">
    <w:abstractNumId w:val="26"/>
  </w:num>
  <w:num w:numId="27">
    <w:abstractNumId w:val="34"/>
  </w:num>
  <w:num w:numId="28">
    <w:abstractNumId w:val="14"/>
  </w:num>
  <w:num w:numId="29">
    <w:abstractNumId w:val="0"/>
  </w:num>
  <w:num w:numId="30">
    <w:abstractNumId w:val="41"/>
  </w:num>
  <w:num w:numId="31">
    <w:abstractNumId w:val="29"/>
  </w:num>
  <w:num w:numId="32">
    <w:abstractNumId w:val="1"/>
  </w:num>
  <w:num w:numId="33">
    <w:abstractNumId w:val="25"/>
  </w:num>
  <w:num w:numId="34">
    <w:abstractNumId w:val="11"/>
  </w:num>
  <w:num w:numId="35">
    <w:abstractNumId w:val="35"/>
  </w:num>
  <w:num w:numId="36">
    <w:abstractNumId w:val="30"/>
  </w:num>
  <w:num w:numId="37">
    <w:abstractNumId w:val="10"/>
  </w:num>
  <w:num w:numId="38">
    <w:abstractNumId w:val="31"/>
  </w:num>
  <w:num w:numId="39">
    <w:abstractNumId w:val="22"/>
  </w:num>
  <w:num w:numId="40">
    <w:abstractNumId w:val="9"/>
  </w:num>
  <w:num w:numId="41">
    <w:abstractNumId w:val="7"/>
  </w:num>
  <w:num w:numId="42">
    <w:abstractNumId w:val="3"/>
  </w:num>
  <w:num w:numId="43">
    <w:abstractNumId w:val="40"/>
  </w:num>
  <w:num w:numId="44">
    <w:abstractNumId w:val="24"/>
  </w:num>
  <w:num w:numId="45">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6339"/>
    <w:rsid w:val="00017669"/>
    <w:rsid w:val="0002045B"/>
    <w:rsid w:val="00022BF1"/>
    <w:rsid w:val="00022D0E"/>
    <w:rsid w:val="00024219"/>
    <w:rsid w:val="00025AA4"/>
    <w:rsid w:val="00026D65"/>
    <w:rsid w:val="00026F24"/>
    <w:rsid w:val="00033EB7"/>
    <w:rsid w:val="00035A58"/>
    <w:rsid w:val="00035B7F"/>
    <w:rsid w:val="00037CFC"/>
    <w:rsid w:val="0004265C"/>
    <w:rsid w:val="00044395"/>
    <w:rsid w:val="00044BEC"/>
    <w:rsid w:val="00045FC5"/>
    <w:rsid w:val="00047690"/>
    <w:rsid w:val="0005028C"/>
    <w:rsid w:val="000518B1"/>
    <w:rsid w:val="000534A4"/>
    <w:rsid w:val="0006015F"/>
    <w:rsid w:val="00061791"/>
    <w:rsid w:val="00062981"/>
    <w:rsid w:val="00071964"/>
    <w:rsid w:val="00071973"/>
    <w:rsid w:val="00071AC0"/>
    <w:rsid w:val="00072068"/>
    <w:rsid w:val="00074BF2"/>
    <w:rsid w:val="000753C2"/>
    <w:rsid w:val="00075940"/>
    <w:rsid w:val="00080954"/>
    <w:rsid w:val="00081DED"/>
    <w:rsid w:val="000824AD"/>
    <w:rsid w:val="00083372"/>
    <w:rsid w:val="00083F00"/>
    <w:rsid w:val="000845A0"/>
    <w:rsid w:val="00087913"/>
    <w:rsid w:val="000879B9"/>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0A19"/>
    <w:rsid w:val="000D2711"/>
    <w:rsid w:val="000D2CC4"/>
    <w:rsid w:val="000D4475"/>
    <w:rsid w:val="000D6B8D"/>
    <w:rsid w:val="000E086D"/>
    <w:rsid w:val="000E0909"/>
    <w:rsid w:val="000E1828"/>
    <w:rsid w:val="000E51E9"/>
    <w:rsid w:val="000E6F13"/>
    <w:rsid w:val="000F60BE"/>
    <w:rsid w:val="000F7AE4"/>
    <w:rsid w:val="000F7B9B"/>
    <w:rsid w:val="000F7DD7"/>
    <w:rsid w:val="00100DF6"/>
    <w:rsid w:val="00102B14"/>
    <w:rsid w:val="001030B2"/>
    <w:rsid w:val="001054E9"/>
    <w:rsid w:val="00111F9C"/>
    <w:rsid w:val="00125988"/>
    <w:rsid w:val="00126F1A"/>
    <w:rsid w:val="001278F6"/>
    <w:rsid w:val="00130521"/>
    <w:rsid w:val="001316BA"/>
    <w:rsid w:val="00131E58"/>
    <w:rsid w:val="00135911"/>
    <w:rsid w:val="00135C70"/>
    <w:rsid w:val="00136017"/>
    <w:rsid w:val="00137CE0"/>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10"/>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34FD5"/>
    <w:rsid w:val="00243214"/>
    <w:rsid w:val="00247968"/>
    <w:rsid w:val="00254256"/>
    <w:rsid w:val="00261071"/>
    <w:rsid w:val="00261407"/>
    <w:rsid w:val="0026190C"/>
    <w:rsid w:val="002649CE"/>
    <w:rsid w:val="002730A4"/>
    <w:rsid w:val="00282BD5"/>
    <w:rsid w:val="00285B26"/>
    <w:rsid w:val="00286A62"/>
    <w:rsid w:val="00287D38"/>
    <w:rsid w:val="00290146"/>
    <w:rsid w:val="00290485"/>
    <w:rsid w:val="002A1649"/>
    <w:rsid w:val="002B1604"/>
    <w:rsid w:val="002B40F4"/>
    <w:rsid w:val="002B4125"/>
    <w:rsid w:val="002C1202"/>
    <w:rsid w:val="002C3944"/>
    <w:rsid w:val="002C3FC4"/>
    <w:rsid w:val="002C5AB3"/>
    <w:rsid w:val="002D0589"/>
    <w:rsid w:val="002D1476"/>
    <w:rsid w:val="002D1692"/>
    <w:rsid w:val="002D43E8"/>
    <w:rsid w:val="002E5BB1"/>
    <w:rsid w:val="002E7C70"/>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428D8"/>
    <w:rsid w:val="00344B7A"/>
    <w:rsid w:val="00356124"/>
    <w:rsid w:val="0035765E"/>
    <w:rsid w:val="00362D35"/>
    <w:rsid w:val="00370216"/>
    <w:rsid w:val="00371761"/>
    <w:rsid w:val="00374134"/>
    <w:rsid w:val="0038383B"/>
    <w:rsid w:val="003A13AF"/>
    <w:rsid w:val="003A2CF4"/>
    <w:rsid w:val="003A2D45"/>
    <w:rsid w:val="003A6D1E"/>
    <w:rsid w:val="003A7D71"/>
    <w:rsid w:val="003B122E"/>
    <w:rsid w:val="003B246E"/>
    <w:rsid w:val="003B2DF2"/>
    <w:rsid w:val="003B3F22"/>
    <w:rsid w:val="003C11F5"/>
    <w:rsid w:val="003C1FF0"/>
    <w:rsid w:val="003C2891"/>
    <w:rsid w:val="003C6562"/>
    <w:rsid w:val="003C65CE"/>
    <w:rsid w:val="003D5C03"/>
    <w:rsid w:val="003D7075"/>
    <w:rsid w:val="003E000D"/>
    <w:rsid w:val="003E0BF5"/>
    <w:rsid w:val="003E2244"/>
    <w:rsid w:val="003E2FAC"/>
    <w:rsid w:val="003E3BB1"/>
    <w:rsid w:val="003E700C"/>
    <w:rsid w:val="003E7FE7"/>
    <w:rsid w:val="003F4E1C"/>
    <w:rsid w:val="003F52CE"/>
    <w:rsid w:val="00403D68"/>
    <w:rsid w:val="0040683C"/>
    <w:rsid w:val="0040739F"/>
    <w:rsid w:val="00413BA8"/>
    <w:rsid w:val="00416FAF"/>
    <w:rsid w:val="00417FF8"/>
    <w:rsid w:val="00420A45"/>
    <w:rsid w:val="00422A4C"/>
    <w:rsid w:val="00423EDB"/>
    <w:rsid w:val="004241B1"/>
    <w:rsid w:val="00424B08"/>
    <w:rsid w:val="004256C8"/>
    <w:rsid w:val="00425C68"/>
    <w:rsid w:val="004307EC"/>
    <w:rsid w:val="0043330B"/>
    <w:rsid w:val="00435202"/>
    <w:rsid w:val="0043580B"/>
    <w:rsid w:val="00437D18"/>
    <w:rsid w:val="00442181"/>
    <w:rsid w:val="00443AA2"/>
    <w:rsid w:val="00446E86"/>
    <w:rsid w:val="00450222"/>
    <w:rsid w:val="00450BAB"/>
    <w:rsid w:val="00451135"/>
    <w:rsid w:val="00452BE7"/>
    <w:rsid w:val="0045476A"/>
    <w:rsid w:val="00455353"/>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5B3"/>
    <w:rsid w:val="00487116"/>
    <w:rsid w:val="004903E4"/>
    <w:rsid w:val="00492CB1"/>
    <w:rsid w:val="004957F6"/>
    <w:rsid w:val="004A0085"/>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27335"/>
    <w:rsid w:val="00534EB3"/>
    <w:rsid w:val="00540507"/>
    <w:rsid w:val="00541304"/>
    <w:rsid w:val="00544D0E"/>
    <w:rsid w:val="005450DD"/>
    <w:rsid w:val="00547B69"/>
    <w:rsid w:val="00554E20"/>
    <w:rsid w:val="00556B70"/>
    <w:rsid w:val="005634A5"/>
    <w:rsid w:val="005653A6"/>
    <w:rsid w:val="00567AF4"/>
    <w:rsid w:val="00585A4A"/>
    <w:rsid w:val="00586A0F"/>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D1D96"/>
    <w:rsid w:val="005E14A0"/>
    <w:rsid w:val="005E2EF2"/>
    <w:rsid w:val="005E5862"/>
    <w:rsid w:val="005F52D7"/>
    <w:rsid w:val="005F56CE"/>
    <w:rsid w:val="005F582C"/>
    <w:rsid w:val="00602DEA"/>
    <w:rsid w:val="00604814"/>
    <w:rsid w:val="00604D38"/>
    <w:rsid w:val="006057B8"/>
    <w:rsid w:val="00606A5C"/>
    <w:rsid w:val="0061056A"/>
    <w:rsid w:val="00610D6D"/>
    <w:rsid w:val="00612132"/>
    <w:rsid w:val="006255E1"/>
    <w:rsid w:val="00640B12"/>
    <w:rsid w:val="0064391B"/>
    <w:rsid w:val="00650C55"/>
    <w:rsid w:val="00652D2C"/>
    <w:rsid w:val="006532EF"/>
    <w:rsid w:val="00654365"/>
    <w:rsid w:val="00660852"/>
    <w:rsid w:val="00662829"/>
    <w:rsid w:val="006721AF"/>
    <w:rsid w:val="00673387"/>
    <w:rsid w:val="00673778"/>
    <w:rsid w:val="0067455B"/>
    <w:rsid w:val="00674CCA"/>
    <w:rsid w:val="00682090"/>
    <w:rsid w:val="00691815"/>
    <w:rsid w:val="0069583B"/>
    <w:rsid w:val="006966B9"/>
    <w:rsid w:val="006A10B8"/>
    <w:rsid w:val="006A1710"/>
    <w:rsid w:val="006A1840"/>
    <w:rsid w:val="006A1893"/>
    <w:rsid w:val="006A1BBC"/>
    <w:rsid w:val="006A29B7"/>
    <w:rsid w:val="006A347B"/>
    <w:rsid w:val="006A4E48"/>
    <w:rsid w:val="006A4F79"/>
    <w:rsid w:val="006A5614"/>
    <w:rsid w:val="006A56B3"/>
    <w:rsid w:val="006B1527"/>
    <w:rsid w:val="006B1648"/>
    <w:rsid w:val="006B2E2E"/>
    <w:rsid w:val="006B58D1"/>
    <w:rsid w:val="006B598E"/>
    <w:rsid w:val="006B6909"/>
    <w:rsid w:val="006C080C"/>
    <w:rsid w:val="006C0CD6"/>
    <w:rsid w:val="006C0EF4"/>
    <w:rsid w:val="006C5F69"/>
    <w:rsid w:val="006C68AD"/>
    <w:rsid w:val="006C78D9"/>
    <w:rsid w:val="006D0011"/>
    <w:rsid w:val="006D0B26"/>
    <w:rsid w:val="006D1228"/>
    <w:rsid w:val="006D1CCC"/>
    <w:rsid w:val="006D1F76"/>
    <w:rsid w:val="006D2404"/>
    <w:rsid w:val="006D3424"/>
    <w:rsid w:val="006D5B55"/>
    <w:rsid w:val="006E1109"/>
    <w:rsid w:val="006E1189"/>
    <w:rsid w:val="006E3396"/>
    <w:rsid w:val="006E59A8"/>
    <w:rsid w:val="006E75DE"/>
    <w:rsid w:val="006F0165"/>
    <w:rsid w:val="006F05A1"/>
    <w:rsid w:val="006F31E4"/>
    <w:rsid w:val="006F5E4D"/>
    <w:rsid w:val="006F72D1"/>
    <w:rsid w:val="00703A74"/>
    <w:rsid w:val="00703EBC"/>
    <w:rsid w:val="0070421F"/>
    <w:rsid w:val="00706FC1"/>
    <w:rsid w:val="007076C5"/>
    <w:rsid w:val="00710F10"/>
    <w:rsid w:val="00711CB3"/>
    <w:rsid w:val="007126BA"/>
    <w:rsid w:val="00712DE0"/>
    <w:rsid w:val="00713225"/>
    <w:rsid w:val="00714E00"/>
    <w:rsid w:val="00716E27"/>
    <w:rsid w:val="00716F9B"/>
    <w:rsid w:val="00720F30"/>
    <w:rsid w:val="00726535"/>
    <w:rsid w:val="00726538"/>
    <w:rsid w:val="007276D6"/>
    <w:rsid w:val="0073000D"/>
    <w:rsid w:val="00732469"/>
    <w:rsid w:val="00733CC1"/>
    <w:rsid w:val="00735A62"/>
    <w:rsid w:val="007371CB"/>
    <w:rsid w:val="00741637"/>
    <w:rsid w:val="00742D1A"/>
    <w:rsid w:val="00744222"/>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3346"/>
    <w:rsid w:val="00785060"/>
    <w:rsid w:val="007944A7"/>
    <w:rsid w:val="00794816"/>
    <w:rsid w:val="00794F16"/>
    <w:rsid w:val="00796611"/>
    <w:rsid w:val="00797EE6"/>
    <w:rsid w:val="007A0D50"/>
    <w:rsid w:val="007A116F"/>
    <w:rsid w:val="007A22B7"/>
    <w:rsid w:val="007A22E8"/>
    <w:rsid w:val="007A4A02"/>
    <w:rsid w:val="007A56CD"/>
    <w:rsid w:val="007A77FC"/>
    <w:rsid w:val="007B3F11"/>
    <w:rsid w:val="007B4DE1"/>
    <w:rsid w:val="007B73D4"/>
    <w:rsid w:val="007B7569"/>
    <w:rsid w:val="007B7EF6"/>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34ED6"/>
    <w:rsid w:val="0084194F"/>
    <w:rsid w:val="00842279"/>
    <w:rsid w:val="00843D7F"/>
    <w:rsid w:val="00846238"/>
    <w:rsid w:val="008542EA"/>
    <w:rsid w:val="0086496C"/>
    <w:rsid w:val="00874EF7"/>
    <w:rsid w:val="008807A3"/>
    <w:rsid w:val="00883D40"/>
    <w:rsid w:val="008868CF"/>
    <w:rsid w:val="00894D0A"/>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4176"/>
    <w:rsid w:val="00936BC2"/>
    <w:rsid w:val="009419E6"/>
    <w:rsid w:val="0094293A"/>
    <w:rsid w:val="00945C0C"/>
    <w:rsid w:val="00946F67"/>
    <w:rsid w:val="00950EEB"/>
    <w:rsid w:val="009532DF"/>
    <w:rsid w:val="00953D12"/>
    <w:rsid w:val="0095513C"/>
    <w:rsid w:val="00957C5C"/>
    <w:rsid w:val="009617F2"/>
    <w:rsid w:val="00961B2C"/>
    <w:rsid w:val="00961FD5"/>
    <w:rsid w:val="00963627"/>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54D1"/>
    <w:rsid w:val="009C6935"/>
    <w:rsid w:val="009D0EE8"/>
    <w:rsid w:val="009D3AC4"/>
    <w:rsid w:val="009E004F"/>
    <w:rsid w:val="009E02FA"/>
    <w:rsid w:val="009E04E6"/>
    <w:rsid w:val="009E0FD6"/>
    <w:rsid w:val="009E361E"/>
    <w:rsid w:val="009E3DB7"/>
    <w:rsid w:val="009E54E6"/>
    <w:rsid w:val="009E5986"/>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54D3B"/>
    <w:rsid w:val="00A61701"/>
    <w:rsid w:val="00A63D30"/>
    <w:rsid w:val="00A71648"/>
    <w:rsid w:val="00A7420D"/>
    <w:rsid w:val="00A74885"/>
    <w:rsid w:val="00A75340"/>
    <w:rsid w:val="00A76BA1"/>
    <w:rsid w:val="00A76D12"/>
    <w:rsid w:val="00A8053C"/>
    <w:rsid w:val="00A825D2"/>
    <w:rsid w:val="00A84A26"/>
    <w:rsid w:val="00A92DF2"/>
    <w:rsid w:val="00A93CC8"/>
    <w:rsid w:val="00A95099"/>
    <w:rsid w:val="00AA164F"/>
    <w:rsid w:val="00AA38E5"/>
    <w:rsid w:val="00AA6A77"/>
    <w:rsid w:val="00AA6D51"/>
    <w:rsid w:val="00AA7CA3"/>
    <w:rsid w:val="00AB069A"/>
    <w:rsid w:val="00AB1E91"/>
    <w:rsid w:val="00AB497D"/>
    <w:rsid w:val="00AC0AA4"/>
    <w:rsid w:val="00AC30D3"/>
    <w:rsid w:val="00AC3A9F"/>
    <w:rsid w:val="00AC500F"/>
    <w:rsid w:val="00AD5BC0"/>
    <w:rsid w:val="00AD6EBF"/>
    <w:rsid w:val="00AE0610"/>
    <w:rsid w:val="00AE193B"/>
    <w:rsid w:val="00AE316A"/>
    <w:rsid w:val="00AE3864"/>
    <w:rsid w:val="00AE6E6B"/>
    <w:rsid w:val="00AE6F48"/>
    <w:rsid w:val="00AF03CB"/>
    <w:rsid w:val="00AF0B4A"/>
    <w:rsid w:val="00AF0C56"/>
    <w:rsid w:val="00AF704B"/>
    <w:rsid w:val="00AF7AD9"/>
    <w:rsid w:val="00B038FD"/>
    <w:rsid w:val="00B127AC"/>
    <w:rsid w:val="00B12D29"/>
    <w:rsid w:val="00B17616"/>
    <w:rsid w:val="00B216EC"/>
    <w:rsid w:val="00B21F45"/>
    <w:rsid w:val="00B25743"/>
    <w:rsid w:val="00B2613A"/>
    <w:rsid w:val="00B26DB4"/>
    <w:rsid w:val="00B27DA9"/>
    <w:rsid w:val="00B303C3"/>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4DC5"/>
    <w:rsid w:val="00B8788B"/>
    <w:rsid w:val="00B87B2F"/>
    <w:rsid w:val="00B913FF"/>
    <w:rsid w:val="00B92794"/>
    <w:rsid w:val="00B97C4F"/>
    <w:rsid w:val="00BA49FD"/>
    <w:rsid w:val="00BA523A"/>
    <w:rsid w:val="00BA56DF"/>
    <w:rsid w:val="00BB1E20"/>
    <w:rsid w:val="00BB4B47"/>
    <w:rsid w:val="00BB62E3"/>
    <w:rsid w:val="00BB71FF"/>
    <w:rsid w:val="00BC1826"/>
    <w:rsid w:val="00BC2550"/>
    <w:rsid w:val="00BC259B"/>
    <w:rsid w:val="00BC3382"/>
    <w:rsid w:val="00BC4A83"/>
    <w:rsid w:val="00BC4E99"/>
    <w:rsid w:val="00BD16D4"/>
    <w:rsid w:val="00BD5E6A"/>
    <w:rsid w:val="00BE0B0E"/>
    <w:rsid w:val="00BE0C67"/>
    <w:rsid w:val="00BE1658"/>
    <w:rsid w:val="00BE2550"/>
    <w:rsid w:val="00BE4436"/>
    <w:rsid w:val="00BE4F38"/>
    <w:rsid w:val="00BE544B"/>
    <w:rsid w:val="00BF1882"/>
    <w:rsid w:val="00BF57E7"/>
    <w:rsid w:val="00C00C91"/>
    <w:rsid w:val="00C02C14"/>
    <w:rsid w:val="00C0378D"/>
    <w:rsid w:val="00C037B5"/>
    <w:rsid w:val="00C04F41"/>
    <w:rsid w:val="00C06C6E"/>
    <w:rsid w:val="00C07E62"/>
    <w:rsid w:val="00C11619"/>
    <w:rsid w:val="00C11965"/>
    <w:rsid w:val="00C134C5"/>
    <w:rsid w:val="00C13C61"/>
    <w:rsid w:val="00C143DE"/>
    <w:rsid w:val="00C22A3F"/>
    <w:rsid w:val="00C24A73"/>
    <w:rsid w:val="00C31919"/>
    <w:rsid w:val="00C32890"/>
    <w:rsid w:val="00C336AF"/>
    <w:rsid w:val="00C35680"/>
    <w:rsid w:val="00C37177"/>
    <w:rsid w:val="00C42944"/>
    <w:rsid w:val="00C42BCA"/>
    <w:rsid w:val="00C43612"/>
    <w:rsid w:val="00C45B9D"/>
    <w:rsid w:val="00C47A19"/>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015C"/>
    <w:rsid w:val="00CF4627"/>
    <w:rsid w:val="00CF4FC4"/>
    <w:rsid w:val="00CF5BE5"/>
    <w:rsid w:val="00CF621D"/>
    <w:rsid w:val="00CF664F"/>
    <w:rsid w:val="00CF69F8"/>
    <w:rsid w:val="00D01575"/>
    <w:rsid w:val="00D04F17"/>
    <w:rsid w:val="00D125C6"/>
    <w:rsid w:val="00D12647"/>
    <w:rsid w:val="00D12780"/>
    <w:rsid w:val="00D15447"/>
    <w:rsid w:val="00D16B80"/>
    <w:rsid w:val="00D20887"/>
    <w:rsid w:val="00D2258A"/>
    <w:rsid w:val="00D30219"/>
    <w:rsid w:val="00D328F7"/>
    <w:rsid w:val="00D35A41"/>
    <w:rsid w:val="00D36701"/>
    <w:rsid w:val="00D446F7"/>
    <w:rsid w:val="00D45DA6"/>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43C7"/>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38E4"/>
    <w:rsid w:val="00E5511B"/>
    <w:rsid w:val="00E56E18"/>
    <w:rsid w:val="00E57CD5"/>
    <w:rsid w:val="00E60312"/>
    <w:rsid w:val="00E62D18"/>
    <w:rsid w:val="00E631AD"/>
    <w:rsid w:val="00E6379B"/>
    <w:rsid w:val="00E63C2A"/>
    <w:rsid w:val="00E66E51"/>
    <w:rsid w:val="00E70A0C"/>
    <w:rsid w:val="00E7372D"/>
    <w:rsid w:val="00E75962"/>
    <w:rsid w:val="00E76C67"/>
    <w:rsid w:val="00E8101A"/>
    <w:rsid w:val="00E811B2"/>
    <w:rsid w:val="00E82475"/>
    <w:rsid w:val="00E84C63"/>
    <w:rsid w:val="00E8627C"/>
    <w:rsid w:val="00E9053E"/>
    <w:rsid w:val="00E964D4"/>
    <w:rsid w:val="00E97A6F"/>
    <w:rsid w:val="00EA3191"/>
    <w:rsid w:val="00EA69A7"/>
    <w:rsid w:val="00EB27BF"/>
    <w:rsid w:val="00EB4828"/>
    <w:rsid w:val="00EB58ED"/>
    <w:rsid w:val="00EB68A3"/>
    <w:rsid w:val="00EB7B66"/>
    <w:rsid w:val="00EC1468"/>
    <w:rsid w:val="00EC6499"/>
    <w:rsid w:val="00ED22E2"/>
    <w:rsid w:val="00ED7DD5"/>
    <w:rsid w:val="00EE291C"/>
    <w:rsid w:val="00EE2F6A"/>
    <w:rsid w:val="00EE57BA"/>
    <w:rsid w:val="00EE7958"/>
    <w:rsid w:val="00EF02B1"/>
    <w:rsid w:val="00EF7911"/>
    <w:rsid w:val="00EF7ABA"/>
    <w:rsid w:val="00F01082"/>
    <w:rsid w:val="00F03AD6"/>
    <w:rsid w:val="00F063BC"/>
    <w:rsid w:val="00F07553"/>
    <w:rsid w:val="00F07594"/>
    <w:rsid w:val="00F07842"/>
    <w:rsid w:val="00F109C1"/>
    <w:rsid w:val="00F117A7"/>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865FE"/>
    <w:rsid w:val="00F929A9"/>
    <w:rsid w:val="00F93B1C"/>
    <w:rsid w:val="00F974A1"/>
    <w:rsid w:val="00FA0965"/>
    <w:rsid w:val="00FA0BE6"/>
    <w:rsid w:val="00FA3299"/>
    <w:rsid w:val="00FA33C6"/>
    <w:rsid w:val="00FA4A26"/>
    <w:rsid w:val="00FA5C8B"/>
    <w:rsid w:val="00FA7B7C"/>
    <w:rsid w:val="00FB0BF4"/>
    <w:rsid w:val="00FB121D"/>
    <w:rsid w:val="00FB3B82"/>
    <w:rsid w:val="00FB3CFF"/>
    <w:rsid w:val="00FB6174"/>
    <w:rsid w:val="00FC5AD3"/>
    <w:rsid w:val="00FC5B4A"/>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128</cp:revision>
  <dcterms:created xsi:type="dcterms:W3CDTF">2024-07-26T14:05:00Z</dcterms:created>
  <dcterms:modified xsi:type="dcterms:W3CDTF">2024-11-07T11:06:00Z</dcterms:modified>
</cp:coreProperties>
</file>